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49" w:rsidRPr="00632869" w:rsidRDefault="00686449" w:rsidP="00686449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Taller evaluativo 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1 (20%)</w:t>
      </w:r>
    </w:p>
    <w:p w:rsidR="00686449" w:rsidRDefault="00686449" w:rsidP="00686449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>
        <w:t>¿Asumiendo ustedes el rol de futuros Ingenieros de Alimentos, cuáles análisis consideran ustedes desde el punto de vista de inocuidad se deben realizar a  la carne de cerdo y sus derivados en marco del CONPES 3458 de “</w:t>
      </w:r>
      <w:r w:rsidRPr="00FD14BA">
        <w:t>POLÍTICA NACIONAL DE SANIDAD E INOCUIDAD PARA LA CADENA PORCICO</w:t>
      </w:r>
      <w:r>
        <w:t>LA”?</w:t>
      </w:r>
    </w:p>
    <w:p w:rsidR="00686449" w:rsidRDefault="00686449" w:rsidP="00686449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>
        <w:t>¿Según el proceso de faenado y sacrificio de bovinos cuales consideran ustedes son las etapas o procedimientos que pueden considerarse puntos críticos de control y por qué?, definan si el riesgo es físico, químico o biológico y que medidas tomarían ustedes para prevenirlo, eliminarlo o reducir a niveles aceptables el riesgo en una etapa anterior o posterior.</w:t>
      </w:r>
    </w:p>
    <w:p w:rsidR="00686449" w:rsidRDefault="00686449" w:rsidP="00686449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</w:pPr>
      <w:r>
        <w:t>Se tienen los siguientes registros de tres canales clasificadas por el sistema ICTA;</w:t>
      </w:r>
      <w:r w:rsidRPr="005A0D69">
        <w:t xml:space="preserve"> cartílago anterior del manubrio del este</w:t>
      </w:r>
      <w:r>
        <w:t>rnón</w:t>
      </w:r>
      <w:r w:rsidRPr="005A0D69">
        <w:t>, en cm. (Car. 1), cartílago entre la primera y segunda esté</w:t>
      </w:r>
      <w:r>
        <w:t>rn</w:t>
      </w:r>
      <w:r w:rsidRPr="005A0D69">
        <w:t>ebra, en cm. (Car. 2), cartílago entre la sexta y séptima esté</w:t>
      </w:r>
      <w:r>
        <w:t>rn</w:t>
      </w:r>
      <w:r w:rsidRPr="005A0D69">
        <w:t>ebra, en cm. (Car. 3), espesor de la grasa a nivel de la séptima y octava costilla, en cm. (G1), y la parte más sobresaliente del hueso sacro, en cm. (G2), perímetro de la pie</w:t>
      </w:r>
      <w:r>
        <w:t>rn</w:t>
      </w:r>
      <w:r w:rsidRPr="005A0D69">
        <w:t>a, en cm. (PP), longitud de la canal, en cm. (LC), peso d</w:t>
      </w:r>
      <w:r>
        <w:t>e la canal fría, en kg. (PCF). Determinen para cada uno de los tres tipos de canal de la siguiente tabla, el total de carne aprovechable (TCA).</w:t>
      </w:r>
    </w:p>
    <w:p w:rsidR="00686449" w:rsidRPr="005A0D69" w:rsidRDefault="00686449" w:rsidP="00686449">
      <w:pPr>
        <w:pStyle w:val="NormalWeb"/>
        <w:spacing w:before="0" w:beforeAutospacing="0" w:after="150" w:afterAutospacing="0"/>
        <w:ind w:left="360"/>
        <w:jc w:val="both"/>
      </w:pP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Variable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5727">
        <w:rPr>
          <w:rFonts w:ascii="Times New Roman" w:hAnsi="Times New Roman" w:cs="Times New Roman"/>
          <w:sz w:val="24"/>
          <w:szCs w:val="24"/>
        </w:rPr>
        <w:t>5 Estrellas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C5727">
        <w:rPr>
          <w:rFonts w:ascii="Times New Roman" w:hAnsi="Times New Roman" w:cs="Times New Roman"/>
          <w:sz w:val="24"/>
          <w:szCs w:val="24"/>
        </w:rPr>
        <w:t xml:space="preserve"> 4 Estrellas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5727">
        <w:rPr>
          <w:rFonts w:ascii="Times New Roman" w:hAnsi="Times New Roman" w:cs="Times New Roman"/>
          <w:sz w:val="24"/>
          <w:szCs w:val="24"/>
        </w:rPr>
        <w:t>3 Estrellas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Car.1 </w:t>
      </w:r>
      <w:r>
        <w:rPr>
          <w:rFonts w:ascii="Times New Roman" w:hAnsi="Times New Roman" w:cs="Times New Roman"/>
          <w:sz w:val="24"/>
          <w:szCs w:val="24"/>
        </w:rPr>
        <w:t xml:space="preserve">             1,98                         1,71                              1,87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>Car.2</w:t>
      </w:r>
      <w:r>
        <w:rPr>
          <w:rFonts w:ascii="Times New Roman" w:hAnsi="Times New Roman" w:cs="Times New Roman"/>
          <w:sz w:val="24"/>
          <w:szCs w:val="24"/>
        </w:rPr>
        <w:t xml:space="preserve">              0,91                         0,83                              0,80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Car.3 </w:t>
      </w:r>
      <w:r>
        <w:rPr>
          <w:rFonts w:ascii="Times New Roman" w:hAnsi="Times New Roman" w:cs="Times New Roman"/>
          <w:sz w:val="24"/>
          <w:szCs w:val="24"/>
        </w:rPr>
        <w:t xml:space="preserve">             0,50                         0,37                              0,40 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G1 </w:t>
      </w:r>
      <w:r>
        <w:rPr>
          <w:rFonts w:ascii="Times New Roman" w:hAnsi="Times New Roman" w:cs="Times New Roman"/>
          <w:sz w:val="24"/>
          <w:szCs w:val="24"/>
        </w:rPr>
        <w:t xml:space="preserve">                 0,66                         0,67                              0,56 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>G2</w:t>
      </w:r>
      <w:r>
        <w:rPr>
          <w:rFonts w:ascii="Times New Roman" w:hAnsi="Times New Roman" w:cs="Times New Roman"/>
          <w:sz w:val="24"/>
          <w:szCs w:val="24"/>
        </w:rPr>
        <w:t xml:space="preserve">                  0,69                         0,60                              0,50 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PP </w:t>
      </w:r>
      <w:r>
        <w:rPr>
          <w:rFonts w:ascii="Times New Roman" w:hAnsi="Times New Roman" w:cs="Times New Roman"/>
          <w:sz w:val="24"/>
          <w:szCs w:val="24"/>
        </w:rPr>
        <w:t xml:space="preserve">                 80,30</w:t>
      </w:r>
      <w:r w:rsidRPr="00DC5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79,60                            76,50</w:t>
      </w:r>
    </w:p>
    <w:p w:rsidR="00686449" w:rsidRPr="00DC5727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LC </w:t>
      </w:r>
      <w:r>
        <w:rPr>
          <w:rFonts w:ascii="Times New Roman" w:hAnsi="Times New Roman" w:cs="Times New Roman"/>
          <w:sz w:val="24"/>
          <w:szCs w:val="24"/>
        </w:rPr>
        <w:t xml:space="preserve">                134,50                    127,90                           120,90</w:t>
      </w:r>
    </w:p>
    <w:p w:rsidR="00686449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C5727">
        <w:rPr>
          <w:rFonts w:ascii="Times New Roman" w:hAnsi="Times New Roman" w:cs="Times New Roman"/>
          <w:sz w:val="24"/>
          <w:szCs w:val="24"/>
        </w:rPr>
        <w:t xml:space="preserve">PCF </w:t>
      </w:r>
      <w:r>
        <w:rPr>
          <w:rFonts w:ascii="Times New Roman" w:hAnsi="Times New Roman" w:cs="Times New Roman"/>
          <w:sz w:val="24"/>
          <w:szCs w:val="24"/>
        </w:rPr>
        <w:t xml:space="preserve">              253,70                    233,80                           190,50</w:t>
      </w:r>
    </w:p>
    <w:p w:rsidR="00686449" w:rsidRDefault="00686449" w:rsidP="0068644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86449" w:rsidRDefault="00686449" w:rsidP="00686449">
      <w:pPr>
        <w:pStyle w:val="NormalWeb"/>
        <w:numPr>
          <w:ilvl w:val="0"/>
          <w:numId w:val="1"/>
        </w:numPr>
        <w:spacing w:before="0" w:beforeAutospacing="0" w:after="150" w:afterAutospacing="0"/>
        <w:ind w:left="708"/>
        <w:jc w:val="both"/>
      </w:pPr>
      <w:r>
        <w:t>¿Desde el punto de vista de las propiedades funcionales de las proteínas de la carne, que se debe hacer para evitar los defectos en carnes DFD y PSE durante el proceso de conversión del músculo en carne? Tecnológicamente que uso se debe dar a este tipo de carnes y cómo mejorar sus propiedades funcionales tecnológicamente</w:t>
      </w:r>
      <w:proofErr w:type="gramStart"/>
      <w:r>
        <w:t>?</w:t>
      </w:r>
      <w:proofErr w:type="gramEnd"/>
    </w:p>
    <w:p w:rsidR="00686449" w:rsidRPr="0067214E" w:rsidRDefault="00686449" w:rsidP="00686449">
      <w:pPr>
        <w:pStyle w:val="NormalWeb"/>
        <w:numPr>
          <w:ilvl w:val="0"/>
          <w:numId w:val="1"/>
        </w:numPr>
        <w:spacing w:before="0" w:beforeAutospacing="0" w:after="150" w:afterAutospacing="0"/>
        <w:ind w:left="708"/>
        <w:jc w:val="both"/>
      </w:pPr>
      <w:r>
        <w:t>¿Qué es el Coeficiente de rendimiento económico de un animal de abasto público y cuál es su interpretación, expliquen?</w:t>
      </w:r>
    </w:p>
    <w:p w:rsidR="0015498E" w:rsidRDefault="0015498E">
      <w:bookmarkStart w:id="0" w:name="_GoBack"/>
      <w:bookmarkEnd w:id="0"/>
    </w:p>
    <w:sectPr w:rsidR="00154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B2C"/>
    <w:multiLevelType w:val="hybridMultilevel"/>
    <w:tmpl w:val="295C0B2E"/>
    <w:lvl w:ilvl="0" w:tplc="0CF6A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49"/>
    <w:rsid w:val="0015498E"/>
    <w:rsid w:val="006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F0CF7-4966-4768-B976-B783440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4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2020-06-30T15:40:00Z</dcterms:created>
  <dcterms:modified xsi:type="dcterms:W3CDTF">2020-06-30T15:41:00Z</dcterms:modified>
</cp:coreProperties>
</file>